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37</w:t>
      </w:r>
    </w:p>
    <w:p>
      <w:r>
        <w:t>Bundesgericht (BGE), 1967-05-19, DE</w:t>
      </w:r>
    </w:p>
    <w:p>
      <w:r>
        <w:rPr>
          <w:b/>
        </w:rPr>
        <w:t xml:space="preserve">Quelle: </w:t>
      </w:r>
      <w:r>
        <w:t>https://mcp.opencaselaw.ch/entscheid/bge_93 IV 37</w:t>
      </w:r>
    </w:p>
    <w:p>
      <w:r>
        <w:t>FR: ATF 93 IV 37</w:t>
      </w:r>
    </w:p>
    <w:p>
      <w:r>
        <w:t>IT: DTF 93 IV 37</w:t>
      </w:r>
    </w:p>
    <w:p>
      <w:pPr>
        <w:pStyle w:val="Heading2"/>
      </w:pPr>
      <w:r>
        <w:t>Regeste</w:t>
      </w:r>
    </w:p>
    <w:p>
      <w:r>
        <w:t>Regeste Art. 35 Abs. 2 SVG. Frei ist die Überholstrecke bei Nacht nicht schon, wenn keine Lichter von Fahrzeugen sichtbar sind; dazu gehört, dass sich auch keine unbeleuchteten Hindernisse auf der Fahrbahn befinden.</w:t>
      </w:r>
    </w:p>
    <w:p>
      <w:pPr>
        <w:pStyle w:val="Heading2"/>
      </w:pPr>
      <w:r>
        <w:t>Erwägungen</w:t>
      </w:r>
    </w:p>
    <w:p>
      <w:r>
        <w:rPr>
          <w:b/>
        </w:rPr>
        <w:t>E. 1</w:t>
      </w:r>
    </w:p>
    <w:p>
      <w:r>
        <w:t>(Ausführungen darüber, dass der Beschwerdeführer, der den Radfahrer schon beim Ausbiegen in die linke Fahrbahn im Scheinwerferlicht seines Wagens hätte sehen können, von der Möglichkeit, das Überholmanöver sofort abzubrechen und hinter dem Lieferwagen wieder nach rechts einzubiegen, offensichtlich deswegen keinen Gebrauch gemacht hat, weil er das Unternehmen nicht mit der bei Nacht und schlechten Sichtverhältnissen gebotenen Vorsicht und Aufmerksamkeit eingeleitet hatte, weshalb ihm zu Recht vorgeworfen wird, er habe pflichtwidrig zu spät erkannt, dass die linke Fahrbahn zum Überholen nicht im Sinne von Art. 35 Abs. 2 SVG frei war.)</w:t>
      </w:r>
    </w:p>
    <w:p>
      <w:r>
        <w:rPr>
          <w:b/>
        </w:rPr>
        <w:t>E. 2</w:t>
      </w:r>
    </w:p>
    <w:p>
      <w:r>
        <w:t>Wie das Obergericht zutreffend beifügt, hätte der Beschwerdeführer auch dann fahrlässig gegen die Regel des Art. 35 Abs. 2 SVG verstossen, wenn er den im Scheinwerferlicht auftauchenden und an sich erkennbaren Radfahrer - sei es wegen der Lichtreflexe der nassen Asphaltstrasse, sei es wegen der Blendwirkung der hell erleuchteten Tankstelle oder der Scheinwerfer der vorher gekreuzten Automobile - in Wirklichkeit nicht sofort hätte sehen können. Denn in diesem Falle stände fest, dass die Sichtverhältnisse zum Überholen zu schlecht waren und der Beschwerdeführer zu überholen begann, obschon er nicht pflichtgemäss überprüfen konnte, ob die Überholstrecke frei sei. Frei ist sie nachts nicht schon, wenn keine Lichter von BGE 93 IV 37 S. 39 Fahrzeugen sichtbar sind, wie der Beschwerdeführer anzunehmen scheint, sondern erst, wenn sich auf der Fahrbahn auch keine unbeleuchteten Hindernisse befinden. Es kommt entgegen seiner Auffassung immer wieder vor, dass in der Dunkelheit Strassenbenützer, insbesondere Fussgänger, Radfahrer oder Fuhrwerke, ohne Licht angetroffen werden. Der Motorfahrzeugführer hat daher mit der Möglichkeit, auf unbeleuchtete Hindernisse zu stossen, zu rechnen und darf sich auch nicht darauf verlassen, dass solche Hindernisse nur am Strassenrand, nicht innerhalb der Fahrbahn auftauchen (Urteil des Kassationshofes vom 6. März 1964 i.S. Maibach gegen Bern). Die Vorschriften über die Beleuchtung der Motorfahrzeuge wurden denn auch nicht nur erlassen, damit diese von andern Strassenbenützern wahrgenommen werden, sondern es sollen die Motorfahrzeugführer ebensosehr Hindernisse, die nicht oder ungenügend beleuchtet sind, rechtzeitig erkennen können, damit es auch zwischen ihnen nicht zu Zusammenstössen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